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4DEBAD" w14:textId="0E643B71" w:rsidR="00BA6691" w:rsidRPr="00BA6691" w:rsidRDefault="00BA6691" w:rsidP="00BA6691">
      <w:pPr>
        <w:pStyle w:val="Heading1"/>
        <w:rPr>
          <w:rFonts w:ascii="Helvetica" w:hAnsi="Helvetica"/>
        </w:rPr>
      </w:pPr>
      <w:r w:rsidRPr="00BA6691">
        <w:rPr>
          <w:rFonts w:ascii="Helvetica" w:hAnsi="Helvetica"/>
        </w:rPr>
        <w:t>Speed Dating with EEW Resources</w:t>
      </w:r>
    </w:p>
    <w:p w14:paraId="481F234A" w14:textId="77777777" w:rsidR="00BA6691" w:rsidRPr="00BA6691" w:rsidRDefault="00BA6691" w:rsidP="00BA6691">
      <w:pPr>
        <w:pStyle w:val="Heading2"/>
        <w:rPr>
          <w:rFonts w:ascii="Helvetica" w:hAnsi="Helvetica"/>
        </w:rPr>
      </w:pPr>
    </w:p>
    <w:p w14:paraId="00000001" w14:textId="6FD1365B" w:rsidR="004F6F3D" w:rsidRPr="00BA6691" w:rsidRDefault="00000000" w:rsidP="00BA6691">
      <w:pPr>
        <w:pStyle w:val="Heading2"/>
        <w:rPr>
          <w:rFonts w:ascii="Helvetica" w:hAnsi="Helvetica"/>
        </w:rPr>
      </w:pPr>
      <w:r w:rsidRPr="00BA6691">
        <w:rPr>
          <w:rFonts w:ascii="Helvetica" w:hAnsi="Helvetica"/>
        </w:rPr>
        <w:t>Official Websites</w:t>
      </w:r>
    </w:p>
    <w:p w14:paraId="00000002" w14:textId="77777777" w:rsidR="004F6F3D" w:rsidRPr="00BA6691" w:rsidRDefault="00000000">
      <w:pPr>
        <w:spacing w:before="240" w:after="240"/>
        <w:rPr>
          <w:rFonts w:ascii="Helvetica" w:hAnsi="Helvetica"/>
          <w:color w:val="1155CC"/>
          <w:u w:val="single"/>
        </w:rPr>
      </w:pPr>
      <w:hyperlink r:id="rId4">
        <w:r w:rsidRPr="00BA6691">
          <w:rPr>
            <w:rFonts w:ascii="Helvetica" w:hAnsi="Helvetica"/>
            <w:color w:val="1155CC"/>
            <w:u w:val="single"/>
          </w:rPr>
          <w:t>SASMEX- Mexico</w:t>
        </w:r>
      </w:hyperlink>
    </w:p>
    <w:p w14:paraId="00000003" w14:textId="77777777" w:rsidR="004F6F3D" w:rsidRPr="00BA6691" w:rsidRDefault="00000000">
      <w:pPr>
        <w:spacing w:before="240" w:after="240"/>
        <w:rPr>
          <w:rFonts w:ascii="Helvetica" w:hAnsi="Helvetica"/>
          <w:color w:val="1155CC"/>
          <w:u w:val="single"/>
        </w:rPr>
      </w:pPr>
      <w:hyperlink r:id="rId5">
        <w:r w:rsidRPr="00BA6691">
          <w:rPr>
            <w:rFonts w:ascii="Helvetica" w:hAnsi="Helvetica"/>
            <w:color w:val="1155CC"/>
            <w:u w:val="single"/>
          </w:rPr>
          <w:t>J-Alert- Japan</w:t>
        </w:r>
      </w:hyperlink>
    </w:p>
    <w:p w14:paraId="00000004" w14:textId="5A7D2EE4" w:rsidR="004F6F3D" w:rsidRPr="00BA6691" w:rsidRDefault="00000000">
      <w:pPr>
        <w:spacing w:before="240" w:after="240"/>
        <w:rPr>
          <w:rFonts w:ascii="Helvetica" w:hAnsi="Helvetica"/>
          <w:color w:val="1155CC"/>
          <w:u w:val="single"/>
        </w:rPr>
      </w:pPr>
      <w:hyperlink r:id="rId6">
        <w:r w:rsidRPr="00BA6691">
          <w:rPr>
            <w:rFonts w:ascii="Helvetica" w:hAnsi="Helvetica"/>
            <w:color w:val="1155CC"/>
            <w:u w:val="single"/>
          </w:rPr>
          <w:t>ShakeAlert</w:t>
        </w:r>
        <w:r w:rsidR="00BA6691" w:rsidRPr="00BA6691">
          <w:rPr>
            <w:rFonts w:ascii="Helvetica" w:hAnsi="Helvetica"/>
            <w:color w:val="1155CC"/>
            <w:u w:val="single"/>
          </w:rPr>
          <w:t xml:space="preserve">™ </w:t>
        </w:r>
        <w:r w:rsidRPr="00BA6691">
          <w:rPr>
            <w:rFonts w:ascii="Helvetica" w:hAnsi="Helvetica"/>
            <w:color w:val="1155CC"/>
            <w:u w:val="single"/>
          </w:rPr>
          <w:t>-</w:t>
        </w:r>
        <w:r w:rsidRPr="00BA6691">
          <w:rPr>
            <w:rFonts w:ascii="Helvetica" w:hAnsi="Helvetica"/>
            <w:color w:val="1155CC"/>
            <w:u w:val="single"/>
          </w:rPr>
          <w:t xml:space="preserve"> United States</w:t>
        </w:r>
      </w:hyperlink>
    </w:p>
    <w:p w14:paraId="00000007" w14:textId="68E7A730" w:rsidR="004F6F3D" w:rsidRPr="00BA6691" w:rsidRDefault="00000000" w:rsidP="00BA6691">
      <w:pPr>
        <w:spacing w:after="240"/>
        <w:ind w:left="720"/>
        <w:rPr>
          <w:rFonts w:ascii="Helvetica" w:hAnsi="Helvetica"/>
        </w:rPr>
      </w:pPr>
      <w:hyperlink r:id="rId7">
        <w:r w:rsidRPr="00BA6691">
          <w:rPr>
            <w:rFonts w:ascii="Helvetica" w:hAnsi="Helvetica"/>
            <w:color w:val="1155CC"/>
            <w:u w:val="single"/>
          </w:rPr>
          <w:t xml:space="preserve">Case Studies and Other </w:t>
        </w:r>
        <w:r w:rsidR="00BA6691" w:rsidRPr="00BA6691">
          <w:rPr>
            <w:rFonts w:ascii="Helvetica" w:hAnsi="Helvetica"/>
            <w:color w:val="1155CC"/>
            <w:u w:val="single"/>
          </w:rPr>
          <w:t xml:space="preserve">Resources </w:t>
        </w:r>
      </w:hyperlink>
    </w:p>
    <w:p w14:paraId="3B3102AD" w14:textId="77777777" w:rsidR="003C1267" w:rsidRDefault="003C1267" w:rsidP="003C1267">
      <w:pPr>
        <w:pStyle w:val="Heading2"/>
        <w:rPr>
          <w:rFonts w:ascii="Helvetica" w:hAnsi="Helvetica"/>
        </w:rPr>
      </w:pPr>
    </w:p>
    <w:p w14:paraId="129AD608" w14:textId="021D5ACC" w:rsidR="00BA6691" w:rsidRPr="003C1267" w:rsidRDefault="00000000" w:rsidP="003C1267">
      <w:pPr>
        <w:pStyle w:val="Heading2"/>
        <w:rPr>
          <w:rFonts w:ascii="Helvetica" w:hAnsi="Helvetica"/>
          <w:highlight w:val="yellow"/>
        </w:rPr>
      </w:pPr>
      <w:r w:rsidRPr="00BA6691">
        <w:rPr>
          <w:rFonts w:ascii="Helvetica" w:hAnsi="Helvetica"/>
        </w:rPr>
        <w:t xml:space="preserve">References </w:t>
      </w:r>
    </w:p>
    <w:p w14:paraId="67562B11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t xml:space="preserve">Adams, R. M., Tobin, J., Peek, L., Breeden, J., McBride, S., &amp; de Groot, R. (2022). The generational gap: Children, adults, and protective actions in response to earthquakes. </w:t>
      </w:r>
      <w:r w:rsidRPr="00BA6691">
        <w:rPr>
          <w:rFonts w:ascii="Helvetica" w:hAnsi="Helvetica"/>
          <w:i/>
          <w:iCs/>
          <w:sz w:val="24"/>
          <w:szCs w:val="24"/>
        </w:rPr>
        <w:t>Australasian journal of disaster and trauma studies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26</w:t>
      </w:r>
      <w:r w:rsidRPr="00BA6691">
        <w:rPr>
          <w:rFonts w:ascii="Helvetica" w:hAnsi="Helvetica"/>
          <w:sz w:val="24"/>
          <w:szCs w:val="24"/>
        </w:rPr>
        <w:t>(2).</w:t>
      </w:r>
    </w:p>
    <w:p w14:paraId="6FBF2AB3" w14:textId="4FC846A5" w:rsidR="00BA6691" w:rsidRPr="00BA6691" w:rsidRDefault="00BA6691" w:rsidP="00BA6691">
      <w:pPr>
        <w:spacing w:before="240" w:after="40" w:line="240" w:lineRule="auto"/>
        <w:rPr>
          <w:rFonts w:ascii="Helvetica" w:eastAsia="Calibri" w:hAnsi="Helvetica" w:cs="Calibri"/>
          <w:color w:val="404040"/>
          <w:sz w:val="24"/>
          <w:szCs w:val="24"/>
        </w:rPr>
      </w:pPr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Adams, Rachel M., Holly Davies, Lori Peek, et al. </w:t>
      </w:r>
      <w:r>
        <w:rPr>
          <w:rFonts w:ascii="Helvetica" w:eastAsia="Calibri" w:hAnsi="Helvetica" w:cs="Calibri"/>
          <w:color w:val="404040"/>
          <w:sz w:val="24"/>
          <w:szCs w:val="24"/>
        </w:rPr>
        <w:t>(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>2024</w:t>
      </w:r>
      <w:r>
        <w:rPr>
          <w:rFonts w:ascii="Helvetica" w:eastAsia="Calibri" w:hAnsi="Helvetica" w:cs="Calibri"/>
          <w:color w:val="404040"/>
          <w:sz w:val="24"/>
          <w:szCs w:val="24"/>
        </w:rPr>
        <w:t>)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. “ShakeAlert® and Schools: Incorporating Earthquake Early Warning in School Districts in Alaska, California, Oregon, and Washington.” </w:t>
      </w:r>
      <w:r w:rsidRPr="00BA6691">
        <w:rPr>
          <w:rFonts w:ascii="Helvetica" w:eastAsia="Calibri" w:hAnsi="Helvetica" w:cs="Calibri"/>
          <w:i/>
          <w:iCs/>
          <w:color w:val="404040"/>
          <w:sz w:val="24"/>
          <w:szCs w:val="24"/>
        </w:rPr>
        <w:t>International Journal of Disaster Risk Reduction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 112 (October): 104735.</w:t>
      </w:r>
      <w:hyperlink r:id="rId8">
        <w:r w:rsidRPr="00BA6691">
          <w:rPr>
            <w:rFonts w:ascii="Helvetica" w:eastAsia="Calibri" w:hAnsi="Helvetica" w:cs="Calibri"/>
            <w:color w:val="404040"/>
            <w:sz w:val="24"/>
            <w:szCs w:val="24"/>
          </w:rPr>
          <w:t xml:space="preserve"> </w:t>
        </w:r>
      </w:hyperlink>
    </w:p>
    <w:p w14:paraId="13D61B14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t xml:space="preserve">Bostrom, A., McBride, S. K., Becker, J. S., Goltz, J. D., de Groot, R. M., Peek, L., ... &amp; Dixon, M. (2022). Great expectations for earthquake early warnings on the United States West Coast. </w:t>
      </w:r>
      <w:r w:rsidRPr="00BA6691">
        <w:rPr>
          <w:rFonts w:ascii="Helvetica" w:hAnsi="Helvetica"/>
          <w:i/>
          <w:iCs/>
          <w:sz w:val="24"/>
          <w:szCs w:val="24"/>
        </w:rPr>
        <w:t>International Journal of Disaster Risk Reduction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82</w:t>
      </w:r>
      <w:r w:rsidRPr="00BA6691">
        <w:rPr>
          <w:rFonts w:ascii="Helvetica" w:hAnsi="Helvetica"/>
          <w:sz w:val="24"/>
          <w:szCs w:val="24"/>
        </w:rPr>
        <w:t>, 103296.</w:t>
      </w:r>
    </w:p>
    <w:p w14:paraId="17D98019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t xml:space="preserve">Crayne, J., </w:t>
      </w:r>
      <w:proofErr w:type="spellStart"/>
      <w:r w:rsidRPr="00BA6691">
        <w:rPr>
          <w:rFonts w:ascii="Helvetica" w:hAnsi="Helvetica"/>
          <w:sz w:val="24"/>
          <w:szCs w:val="24"/>
        </w:rPr>
        <w:t>Herrán</w:t>
      </w:r>
      <w:proofErr w:type="spellEnd"/>
      <w:r w:rsidRPr="00BA6691">
        <w:rPr>
          <w:rFonts w:ascii="Helvetica" w:hAnsi="Helvetica"/>
          <w:sz w:val="24"/>
          <w:szCs w:val="24"/>
        </w:rPr>
        <w:t xml:space="preserve">, C., Sumy, D. F., Benne, M., Shagott, T., &amp; Peek, L. (2024). Public education about ShakeAlert® earthquake early warning: evaluation of an animated video in English and Spanish. </w:t>
      </w:r>
      <w:r w:rsidRPr="00BA6691">
        <w:rPr>
          <w:rFonts w:ascii="Helvetica" w:hAnsi="Helvetica"/>
          <w:i/>
          <w:iCs/>
          <w:sz w:val="24"/>
          <w:szCs w:val="24"/>
        </w:rPr>
        <w:t>International Journal of Science Education, Part B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14</w:t>
      </w:r>
      <w:r w:rsidRPr="00BA6691">
        <w:rPr>
          <w:rFonts w:ascii="Helvetica" w:hAnsi="Helvetica"/>
          <w:sz w:val="24"/>
          <w:szCs w:val="24"/>
        </w:rPr>
        <w:t>(2), 232-256.</w:t>
      </w:r>
    </w:p>
    <w:p w14:paraId="0E13EA8B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t xml:space="preserve">Goltz, J. D., </w:t>
      </w:r>
      <w:proofErr w:type="spellStart"/>
      <w:r w:rsidRPr="00BA6691">
        <w:rPr>
          <w:rFonts w:ascii="Helvetica" w:hAnsi="Helvetica"/>
          <w:sz w:val="24"/>
          <w:szCs w:val="24"/>
        </w:rPr>
        <w:t>Nakayachi</w:t>
      </w:r>
      <w:proofErr w:type="spellEnd"/>
      <w:r w:rsidRPr="00BA6691">
        <w:rPr>
          <w:rFonts w:ascii="Helvetica" w:hAnsi="Helvetica"/>
          <w:sz w:val="24"/>
          <w:szCs w:val="24"/>
        </w:rPr>
        <w:t xml:space="preserve">, K., &amp; </w:t>
      </w:r>
      <w:proofErr w:type="spellStart"/>
      <w:r w:rsidRPr="00BA6691">
        <w:rPr>
          <w:rFonts w:ascii="Helvetica" w:hAnsi="Helvetica"/>
          <w:sz w:val="24"/>
          <w:szCs w:val="24"/>
        </w:rPr>
        <w:t>Vinnell</w:t>
      </w:r>
      <w:proofErr w:type="spellEnd"/>
      <w:r w:rsidRPr="00BA6691">
        <w:rPr>
          <w:rFonts w:ascii="Helvetica" w:hAnsi="Helvetica"/>
          <w:sz w:val="24"/>
          <w:szCs w:val="24"/>
        </w:rPr>
        <w:t xml:space="preserve">, L. (2026). Individual User-Derived Assessments of Earthquake Early Warning Systems: A Social Science Review of Response, Perception, and Evaluation of Usefulness. </w:t>
      </w:r>
      <w:r w:rsidRPr="00BA6691">
        <w:rPr>
          <w:rFonts w:ascii="Helvetica" w:hAnsi="Helvetica"/>
          <w:i/>
          <w:iCs/>
          <w:sz w:val="24"/>
          <w:szCs w:val="24"/>
        </w:rPr>
        <w:t>Natural Hazards Review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27</w:t>
      </w:r>
      <w:r w:rsidRPr="00BA6691">
        <w:rPr>
          <w:rFonts w:ascii="Helvetica" w:hAnsi="Helvetica"/>
          <w:sz w:val="24"/>
          <w:szCs w:val="24"/>
        </w:rPr>
        <w:t>(1), 03125001.</w:t>
      </w:r>
    </w:p>
    <w:p w14:paraId="2D199776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lastRenderedPageBreak/>
        <w:t xml:space="preserve">Goltz, J. D., Wald, D. J., McBride, S. K., DeGroot, R., Breeden, J. K., &amp; Bostrom, A. (2023). Development of a companion questionnaire for “Did You Feel It?”: Assessing response in earthquakes where an earthquake early warning may have been received. </w:t>
      </w:r>
      <w:r w:rsidRPr="00BA6691">
        <w:rPr>
          <w:rFonts w:ascii="Helvetica" w:hAnsi="Helvetica"/>
          <w:i/>
          <w:iCs/>
          <w:sz w:val="24"/>
          <w:szCs w:val="24"/>
        </w:rPr>
        <w:t>Earthquake Spectra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39</w:t>
      </w:r>
      <w:r w:rsidRPr="00BA6691">
        <w:rPr>
          <w:rFonts w:ascii="Helvetica" w:hAnsi="Helvetica"/>
          <w:sz w:val="24"/>
          <w:szCs w:val="24"/>
        </w:rPr>
        <w:t>(1), 434-453.</w:t>
      </w:r>
    </w:p>
    <w:p w14:paraId="49D44FDA" w14:textId="6D36564C" w:rsidR="00BA6691" w:rsidRPr="00BA6691" w:rsidRDefault="00BA6691" w:rsidP="00BA6691">
      <w:pPr>
        <w:spacing w:before="240" w:after="40" w:line="240" w:lineRule="auto"/>
        <w:rPr>
          <w:rFonts w:ascii="Helvetica" w:eastAsia="Calibri" w:hAnsi="Helvetica" w:cs="Calibri"/>
          <w:color w:val="404040"/>
          <w:sz w:val="24"/>
          <w:szCs w:val="24"/>
        </w:rPr>
      </w:pPr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Lux, Angela I., Deborah Smith, Maren Böse, Jeffrey J. McGuire, Jessie K. Saunders, Minh Huynh, Igor </w:t>
      </w:r>
      <w:proofErr w:type="spellStart"/>
      <w:r w:rsidRPr="00BA6691">
        <w:rPr>
          <w:rFonts w:ascii="Helvetica" w:eastAsia="Calibri" w:hAnsi="Helvetica" w:cs="Calibri"/>
          <w:color w:val="404040"/>
          <w:sz w:val="24"/>
          <w:szCs w:val="24"/>
        </w:rPr>
        <w:t>Stubailo</w:t>
      </w:r>
      <w:proofErr w:type="spellEnd"/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, et al. </w:t>
      </w:r>
      <w:r>
        <w:rPr>
          <w:rFonts w:ascii="Helvetica" w:eastAsia="Calibri" w:hAnsi="Helvetica" w:cs="Calibri"/>
          <w:color w:val="404040"/>
          <w:sz w:val="24"/>
          <w:szCs w:val="24"/>
        </w:rPr>
        <w:t>(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>2024</w:t>
      </w:r>
      <w:r>
        <w:rPr>
          <w:rFonts w:ascii="Helvetica" w:eastAsia="Calibri" w:hAnsi="Helvetica" w:cs="Calibri"/>
          <w:color w:val="404040"/>
          <w:sz w:val="24"/>
          <w:szCs w:val="24"/>
        </w:rPr>
        <w:t>)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. “Status and Performance of the ShakeAlert Earthquake Early Warning System: 2019–2023.” </w:t>
      </w:r>
      <w:r w:rsidRPr="00BA6691">
        <w:rPr>
          <w:rFonts w:ascii="Helvetica" w:eastAsia="Calibri" w:hAnsi="Helvetica" w:cs="Calibri"/>
          <w:i/>
          <w:iCs/>
          <w:color w:val="404040"/>
          <w:sz w:val="24"/>
          <w:szCs w:val="24"/>
        </w:rPr>
        <w:t>Bulletin of the Seismological Society of America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 114 (6): 3041–62.</w:t>
      </w:r>
      <w:hyperlink r:id="rId9">
        <w:r w:rsidRPr="00BA6691">
          <w:rPr>
            <w:rFonts w:ascii="Helvetica" w:eastAsia="Calibri" w:hAnsi="Helvetica" w:cs="Calibri"/>
            <w:color w:val="404040"/>
            <w:sz w:val="24"/>
            <w:szCs w:val="24"/>
          </w:rPr>
          <w:t xml:space="preserve"> </w:t>
        </w:r>
      </w:hyperlink>
    </w:p>
    <w:p w14:paraId="71082AB2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t xml:space="preserve">McBride, S. K., Bostrom, A., Sutton, J., de Groot, R. M., Baltay, A. S., Terbush, B., ... &amp; Vinci, M. (2020). Developing post-alert messaging for ShakeAlert, the earthquake early warning system for the West Coast of the United States of America. </w:t>
      </w:r>
      <w:r w:rsidRPr="00BA6691">
        <w:rPr>
          <w:rFonts w:ascii="Helvetica" w:hAnsi="Helvetica"/>
          <w:i/>
          <w:iCs/>
          <w:sz w:val="24"/>
          <w:szCs w:val="24"/>
        </w:rPr>
        <w:t>International Journal of Disaster Risk Reduction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50</w:t>
      </w:r>
      <w:r w:rsidRPr="00BA6691">
        <w:rPr>
          <w:rFonts w:ascii="Helvetica" w:hAnsi="Helvetica"/>
          <w:sz w:val="24"/>
          <w:szCs w:val="24"/>
        </w:rPr>
        <w:t>, 101713.</w:t>
      </w:r>
    </w:p>
    <w:p w14:paraId="615AD9F6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t xml:space="preserve">McBride, S. K., Smith, H., </w:t>
      </w:r>
      <w:proofErr w:type="spellStart"/>
      <w:r w:rsidRPr="00BA6691">
        <w:rPr>
          <w:rFonts w:ascii="Helvetica" w:hAnsi="Helvetica"/>
          <w:sz w:val="24"/>
          <w:szCs w:val="24"/>
        </w:rPr>
        <w:t>Morgoch</w:t>
      </w:r>
      <w:proofErr w:type="spellEnd"/>
      <w:r w:rsidRPr="00BA6691">
        <w:rPr>
          <w:rFonts w:ascii="Helvetica" w:hAnsi="Helvetica"/>
          <w:sz w:val="24"/>
          <w:szCs w:val="24"/>
        </w:rPr>
        <w:t xml:space="preserve">, M., Sumy, D., Jenkins, M., Peek, L., ... &amp; Wood, M. (2022). Evidence-based guidelines for protective actions and earthquake early warning systems. </w:t>
      </w:r>
      <w:r w:rsidRPr="00BA6691">
        <w:rPr>
          <w:rFonts w:ascii="Helvetica" w:hAnsi="Helvetica"/>
          <w:i/>
          <w:iCs/>
          <w:sz w:val="24"/>
          <w:szCs w:val="24"/>
        </w:rPr>
        <w:t>Geophysics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87</w:t>
      </w:r>
      <w:r w:rsidRPr="00BA6691">
        <w:rPr>
          <w:rFonts w:ascii="Helvetica" w:hAnsi="Helvetica"/>
          <w:sz w:val="24"/>
          <w:szCs w:val="24"/>
        </w:rPr>
        <w:t>(1), WA77-WA102.</w:t>
      </w:r>
    </w:p>
    <w:p w14:paraId="75689066" w14:textId="0B5EA730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color w:val="1A1A1A"/>
          <w:sz w:val="24"/>
          <w:szCs w:val="24"/>
          <w:highlight w:val="white"/>
        </w:rPr>
        <w:t>McGuire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Jeffrey,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Carl W. Ulberg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Angie I. Lux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Maren Böse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Jennifer R. Andrews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Deborah E. Smith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Brendan W. Crowell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Jessica R. Murray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Ivan Henson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Renate Hartog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Claude Felizardo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Minh Huynh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Mario Aranha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Grace A. Parker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Annemarie Baltay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Mark H. Murray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Glenn P. Biasi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Steve Guiwits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Jessie K. Saunders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Andrew D. Good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Victor Marcelo Santillan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Craig W. Scrivner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Walter M. Szeliga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Timothy I. Melbourne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Victor Kress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Robert M. de Groot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Sara K. McBride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Douglas Given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Richard M. Allen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Thomas H. Heaton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Allen Husker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Valerie Thomas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Harold J. Tobin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Sumant Jha</w:t>
      </w:r>
      <w:r w:rsidRPr="00BA6691">
        <w:rPr>
          <w:rFonts w:ascii="Helvetica" w:hAnsi="Helvetica"/>
          <w:color w:val="00436D"/>
          <w:sz w:val="24"/>
          <w:szCs w:val="24"/>
          <w:highlight w:val="white"/>
        </w:rPr>
        <w:t xml:space="preserve">, 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Julian Bunn</w:t>
      </w:r>
      <w:r>
        <w:rPr>
          <w:rFonts w:ascii="Helvetica" w:hAnsi="Helvetica"/>
          <w:color w:val="1A1A1A"/>
          <w:sz w:val="24"/>
          <w:szCs w:val="24"/>
          <w:highlight w:val="white"/>
        </w:rPr>
        <w:t>. (2025</w:t>
      </w:r>
      <w:proofErr w:type="gramStart"/>
      <w:r>
        <w:rPr>
          <w:rFonts w:ascii="Helvetica" w:hAnsi="Helvetica"/>
          <w:color w:val="1A1A1A"/>
          <w:sz w:val="24"/>
          <w:szCs w:val="24"/>
          <w:highlight w:val="white"/>
        </w:rPr>
        <w:t>).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>ShakeAlert</w:t>
      </w:r>
      <w:proofErr w:type="gramEnd"/>
      <w:r w:rsidRPr="00BA6691">
        <w:rPr>
          <w:rFonts w:ascii="Helvetica" w:hAnsi="Helvetica"/>
          <w:color w:val="1A1A1A"/>
          <w:sz w:val="24"/>
          <w:szCs w:val="24"/>
          <w:highlight w:val="white"/>
        </w:rPr>
        <w:t xml:space="preserve">™ Version 3: Expected Performance in Large Earthquakes. </w:t>
      </w:r>
      <w:r w:rsidRPr="00BA6691">
        <w:rPr>
          <w:rFonts w:ascii="Helvetica" w:hAnsi="Helvetica"/>
          <w:i/>
          <w:iCs/>
          <w:color w:val="1A1A1A"/>
          <w:sz w:val="24"/>
          <w:szCs w:val="24"/>
          <w:highlight w:val="white"/>
        </w:rPr>
        <w:t>Bulletin of the Seismological Society of America</w:t>
      </w:r>
      <w:r w:rsidRPr="00BA6691">
        <w:rPr>
          <w:rFonts w:ascii="Helvetica" w:hAnsi="Helvetica"/>
          <w:color w:val="1A1A1A"/>
          <w:sz w:val="24"/>
          <w:szCs w:val="24"/>
          <w:highlight w:val="white"/>
        </w:rPr>
        <w:t xml:space="preserve"> 2025; 115 (2): 533–561. </w:t>
      </w:r>
    </w:p>
    <w:p w14:paraId="477897AF" w14:textId="086C1C40" w:rsidR="00BA6691" w:rsidRPr="00BA6691" w:rsidRDefault="00BA6691" w:rsidP="00BA6691">
      <w:pPr>
        <w:spacing w:before="240" w:after="40" w:line="240" w:lineRule="auto"/>
        <w:rPr>
          <w:rFonts w:ascii="Helvetica" w:eastAsia="Calibri" w:hAnsi="Helvetica" w:cs="Calibri"/>
          <w:color w:val="404040"/>
          <w:sz w:val="24"/>
          <w:szCs w:val="24"/>
        </w:rPr>
      </w:pPr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Peek, Lori, Rachel M. Adams, Jolie Breeden, Jennifer Tobin, Robert M. de Groot, and Sara K. McBride. </w:t>
      </w:r>
      <w:r>
        <w:rPr>
          <w:rFonts w:ascii="Helvetica" w:eastAsia="Calibri" w:hAnsi="Helvetica" w:cs="Calibri"/>
          <w:color w:val="404040"/>
          <w:sz w:val="24"/>
          <w:szCs w:val="24"/>
        </w:rPr>
        <w:t>(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>2024</w:t>
      </w:r>
      <w:r>
        <w:rPr>
          <w:rFonts w:ascii="Helvetica" w:eastAsia="Calibri" w:hAnsi="Helvetica" w:cs="Calibri"/>
          <w:color w:val="404040"/>
          <w:sz w:val="24"/>
          <w:szCs w:val="24"/>
        </w:rPr>
        <w:t>)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. “Earthquake Early Warning in the Western United States: Special Considerations for Schools.” In </w:t>
      </w:r>
      <w:r w:rsidRPr="00BA6691">
        <w:rPr>
          <w:rFonts w:ascii="Helvetica" w:eastAsia="Calibri" w:hAnsi="Helvetica" w:cs="Calibri"/>
          <w:i/>
          <w:iCs/>
          <w:color w:val="404040"/>
          <w:sz w:val="24"/>
          <w:szCs w:val="24"/>
        </w:rPr>
        <w:t>Disaster and Climate Risk Education: Insights from Knowledge to Action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>, edited by Ayse Yildiz and Rajib Shaw. Springer Nature.</w:t>
      </w:r>
      <w:hyperlink r:id="rId10">
        <w:r w:rsidRPr="00BA6691">
          <w:rPr>
            <w:rFonts w:ascii="Helvetica" w:eastAsia="Calibri" w:hAnsi="Helvetica" w:cs="Calibri"/>
            <w:color w:val="404040"/>
            <w:sz w:val="24"/>
            <w:szCs w:val="24"/>
          </w:rPr>
          <w:t xml:space="preserve"> </w:t>
        </w:r>
      </w:hyperlink>
    </w:p>
    <w:p w14:paraId="785FED5C" w14:textId="11CBBAC1" w:rsidR="00BA6691" w:rsidRPr="00BA6691" w:rsidRDefault="00BA6691" w:rsidP="00BA6691">
      <w:pPr>
        <w:spacing w:before="240" w:after="40" w:line="240" w:lineRule="auto"/>
        <w:rPr>
          <w:rFonts w:ascii="Helvetica" w:eastAsia="Calibri" w:hAnsi="Helvetica" w:cs="Calibri"/>
          <w:color w:val="404040"/>
          <w:sz w:val="24"/>
          <w:szCs w:val="24"/>
        </w:rPr>
      </w:pPr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Porter, K.A. </w:t>
      </w:r>
      <w:r>
        <w:rPr>
          <w:rFonts w:ascii="Helvetica" w:eastAsia="Calibri" w:hAnsi="Helvetica" w:cs="Calibri"/>
          <w:color w:val="404040"/>
          <w:sz w:val="24"/>
          <w:szCs w:val="24"/>
        </w:rPr>
        <w:t>(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>2020</w:t>
      </w:r>
      <w:r>
        <w:rPr>
          <w:rFonts w:ascii="Helvetica" w:eastAsia="Calibri" w:hAnsi="Helvetica" w:cs="Calibri"/>
          <w:color w:val="404040"/>
          <w:sz w:val="24"/>
          <w:szCs w:val="24"/>
        </w:rPr>
        <w:t>)</w:t>
      </w:r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. “Best Practices for Earthquake Early Warning: A Compendium.” SPA Risk </w:t>
      </w:r>
      <w:proofErr w:type="gramStart"/>
      <w:r w:rsidRPr="00BA6691">
        <w:rPr>
          <w:rFonts w:ascii="Helvetica" w:eastAsia="Calibri" w:hAnsi="Helvetica" w:cs="Calibri"/>
          <w:color w:val="404040"/>
          <w:sz w:val="24"/>
          <w:szCs w:val="24"/>
        </w:rPr>
        <w:t>LLC,  Denver</w:t>
      </w:r>
      <w:proofErr w:type="gramEnd"/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 CO.</w:t>
      </w:r>
      <w:hyperlink r:id="rId11">
        <w:r w:rsidRPr="00BA6691">
          <w:rPr>
            <w:rFonts w:ascii="Helvetica" w:eastAsia="Calibri" w:hAnsi="Helvetica" w:cs="Calibri"/>
            <w:color w:val="404040"/>
            <w:sz w:val="24"/>
            <w:szCs w:val="24"/>
          </w:rPr>
          <w:t xml:space="preserve"> </w:t>
        </w:r>
      </w:hyperlink>
      <w:r w:rsidRPr="00BA6691">
        <w:rPr>
          <w:rFonts w:ascii="Helvetica" w:eastAsia="Calibri" w:hAnsi="Helvetica" w:cs="Calibri"/>
          <w:color w:val="404040"/>
          <w:sz w:val="24"/>
          <w:szCs w:val="24"/>
        </w:rPr>
        <w:t xml:space="preserve"> </w:t>
      </w:r>
    </w:p>
    <w:p w14:paraId="1321EBFE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t xml:space="preserve">Reddy, E., Valenzuela, J., Yavorsky, N., Guizzetti, N., &amp; Schroeder, C. (2024). Earthquake early warning </w:t>
      </w:r>
      <w:proofErr w:type="spellStart"/>
      <w:r w:rsidRPr="00BA6691">
        <w:rPr>
          <w:rFonts w:ascii="Helvetica" w:hAnsi="Helvetica"/>
          <w:sz w:val="24"/>
          <w:szCs w:val="24"/>
        </w:rPr>
        <w:t>riskwork</w:t>
      </w:r>
      <w:proofErr w:type="spellEnd"/>
      <w:r w:rsidRPr="00BA6691">
        <w:rPr>
          <w:rFonts w:ascii="Helvetica" w:hAnsi="Helvetica"/>
          <w:sz w:val="24"/>
          <w:szCs w:val="24"/>
        </w:rPr>
        <w:t xml:space="preserve">: </w:t>
      </w:r>
      <w:proofErr w:type="spellStart"/>
      <w:r w:rsidRPr="00BA6691">
        <w:rPr>
          <w:rFonts w:ascii="Helvetica" w:hAnsi="Helvetica"/>
          <w:sz w:val="24"/>
          <w:szCs w:val="24"/>
        </w:rPr>
        <w:t>ShakeAlert’s</w:t>
      </w:r>
      <w:proofErr w:type="spellEnd"/>
      <w:r w:rsidRPr="00BA6691">
        <w:rPr>
          <w:rFonts w:ascii="Helvetica" w:hAnsi="Helvetica"/>
          <w:sz w:val="24"/>
          <w:szCs w:val="24"/>
        </w:rPr>
        <w:t xml:space="preserve"> operation with institutionalized uncertainties. </w:t>
      </w:r>
      <w:r w:rsidRPr="00BA6691">
        <w:rPr>
          <w:rFonts w:ascii="Helvetica" w:hAnsi="Helvetica"/>
          <w:i/>
          <w:iCs/>
          <w:sz w:val="24"/>
          <w:szCs w:val="24"/>
        </w:rPr>
        <w:t>Natural Hazards Review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25</w:t>
      </w:r>
      <w:r w:rsidRPr="00BA6691">
        <w:rPr>
          <w:rFonts w:ascii="Helvetica" w:hAnsi="Helvetica"/>
          <w:sz w:val="24"/>
          <w:szCs w:val="24"/>
        </w:rPr>
        <w:t>(2), 04023058.</w:t>
      </w:r>
    </w:p>
    <w:p w14:paraId="176735A2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t xml:space="preserve">Rostami, K., Becker, J. S., Prasanna, R., &amp; </w:t>
      </w:r>
      <w:proofErr w:type="spellStart"/>
      <w:r w:rsidRPr="00BA6691">
        <w:rPr>
          <w:rFonts w:ascii="Helvetica" w:hAnsi="Helvetica"/>
          <w:sz w:val="24"/>
          <w:szCs w:val="24"/>
        </w:rPr>
        <w:t>Vinnell</w:t>
      </w:r>
      <w:proofErr w:type="spellEnd"/>
      <w:r w:rsidRPr="00BA6691">
        <w:rPr>
          <w:rFonts w:ascii="Helvetica" w:hAnsi="Helvetica"/>
          <w:sz w:val="24"/>
          <w:szCs w:val="24"/>
        </w:rPr>
        <w:t xml:space="preserve">, L. J. (2026). From Warnings to Actions: Factors Influencing Response to Earthquake Early Warning—A Systematic Literature Review. </w:t>
      </w:r>
      <w:r w:rsidRPr="00BA6691">
        <w:rPr>
          <w:rFonts w:ascii="Helvetica" w:hAnsi="Helvetica"/>
          <w:i/>
          <w:iCs/>
          <w:sz w:val="24"/>
          <w:szCs w:val="24"/>
        </w:rPr>
        <w:t>Earthquake Spectra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42</w:t>
      </w:r>
      <w:r w:rsidRPr="00BA6691">
        <w:rPr>
          <w:rFonts w:ascii="Helvetica" w:hAnsi="Helvetica"/>
          <w:sz w:val="24"/>
          <w:szCs w:val="24"/>
        </w:rPr>
        <w:t>(2), e70069.</w:t>
      </w:r>
    </w:p>
    <w:p w14:paraId="6D8150D4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lastRenderedPageBreak/>
        <w:t xml:space="preserve">Sumy, D. F., Jenkins, M. R., McBride, S. K., &amp; de Groot, R. M. (2022). Typology development of earthquake displays in free-choice learning environments, to inform earthquake early warning education in the United States. </w:t>
      </w:r>
      <w:r w:rsidRPr="00BA6691">
        <w:rPr>
          <w:rFonts w:ascii="Helvetica" w:hAnsi="Helvetica"/>
          <w:i/>
          <w:iCs/>
          <w:sz w:val="24"/>
          <w:szCs w:val="24"/>
        </w:rPr>
        <w:t>International Journal of Disaster Risk Reduction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73</w:t>
      </w:r>
      <w:r w:rsidRPr="00BA6691">
        <w:rPr>
          <w:rFonts w:ascii="Helvetica" w:hAnsi="Helvetica"/>
          <w:sz w:val="24"/>
          <w:szCs w:val="24"/>
        </w:rPr>
        <w:t>, 102802.</w:t>
      </w:r>
    </w:p>
    <w:p w14:paraId="1506D213" w14:textId="77777777" w:rsidR="00BA6691" w:rsidRPr="00BA6691" w:rsidRDefault="00BA6691" w:rsidP="00BA6691">
      <w:pPr>
        <w:spacing w:before="240" w:after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t xml:space="preserve">Sutton, J., Fischer, L., James, L. E., &amp; Sheff, S. E. (2020). Earthquake early warning message testing: Visual attention, behavioral responses, and message perceptions. </w:t>
      </w:r>
      <w:r w:rsidRPr="00BA6691">
        <w:rPr>
          <w:rFonts w:ascii="Helvetica" w:hAnsi="Helvetica"/>
          <w:i/>
          <w:iCs/>
          <w:sz w:val="24"/>
          <w:szCs w:val="24"/>
        </w:rPr>
        <w:t>International journal of disaster risk reduction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49</w:t>
      </w:r>
      <w:r w:rsidRPr="00BA6691">
        <w:rPr>
          <w:rFonts w:ascii="Helvetica" w:hAnsi="Helvetica"/>
          <w:sz w:val="24"/>
          <w:szCs w:val="24"/>
        </w:rPr>
        <w:t>, 101664.</w:t>
      </w:r>
    </w:p>
    <w:p w14:paraId="41B5DC86" w14:textId="77777777" w:rsidR="00BA6691" w:rsidRPr="00BA6691" w:rsidRDefault="00BA6691" w:rsidP="00BA6691">
      <w:pPr>
        <w:spacing w:before="240" w:line="240" w:lineRule="auto"/>
        <w:rPr>
          <w:rFonts w:ascii="Helvetica" w:hAnsi="Helvetica"/>
          <w:sz w:val="24"/>
          <w:szCs w:val="24"/>
        </w:rPr>
      </w:pPr>
      <w:r w:rsidRPr="00BA6691">
        <w:rPr>
          <w:rFonts w:ascii="Helvetica" w:hAnsi="Helvetica"/>
          <w:sz w:val="24"/>
          <w:szCs w:val="24"/>
        </w:rPr>
        <w:t xml:space="preserve">Tan, M. L., </w:t>
      </w:r>
      <w:proofErr w:type="spellStart"/>
      <w:r w:rsidRPr="00BA6691">
        <w:rPr>
          <w:rFonts w:ascii="Helvetica" w:hAnsi="Helvetica"/>
          <w:sz w:val="24"/>
          <w:szCs w:val="24"/>
        </w:rPr>
        <w:t>Vinnell</w:t>
      </w:r>
      <w:proofErr w:type="spellEnd"/>
      <w:r w:rsidRPr="00BA6691">
        <w:rPr>
          <w:rFonts w:ascii="Helvetica" w:hAnsi="Helvetica"/>
          <w:sz w:val="24"/>
          <w:szCs w:val="24"/>
        </w:rPr>
        <w:t xml:space="preserve">, L. J., Valentin, A. P. M., Prasanna, R., &amp; Becker, J. S. (2023). The public's perception of an earthquake early warning system: A study on factors influencing continuance intention. </w:t>
      </w:r>
      <w:r w:rsidRPr="00BA6691">
        <w:rPr>
          <w:rFonts w:ascii="Helvetica" w:hAnsi="Helvetica"/>
          <w:i/>
          <w:iCs/>
          <w:sz w:val="24"/>
          <w:szCs w:val="24"/>
        </w:rPr>
        <w:t>International journal of disaster risk reduction</w:t>
      </w:r>
      <w:r w:rsidRPr="00BA6691">
        <w:rPr>
          <w:rFonts w:ascii="Helvetica" w:hAnsi="Helvetica"/>
          <w:sz w:val="24"/>
          <w:szCs w:val="24"/>
        </w:rPr>
        <w:t xml:space="preserve">, </w:t>
      </w:r>
      <w:r w:rsidRPr="00BA6691">
        <w:rPr>
          <w:rFonts w:ascii="Helvetica" w:hAnsi="Helvetica"/>
          <w:i/>
          <w:iCs/>
          <w:sz w:val="24"/>
          <w:szCs w:val="24"/>
        </w:rPr>
        <w:t>97</w:t>
      </w:r>
      <w:r w:rsidRPr="00BA6691">
        <w:rPr>
          <w:rFonts w:ascii="Helvetica" w:hAnsi="Helvetica"/>
          <w:sz w:val="24"/>
          <w:szCs w:val="24"/>
        </w:rPr>
        <w:t>, 104032.</w:t>
      </w:r>
    </w:p>
    <w:sectPr w:rsidR="00BA6691" w:rsidRPr="00BA669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5BDBDEE-2A3C-C64F-BC78-DA96C1D2B4D0}"/>
    <w:embedItalic r:id="rId2" w:fontKey="{C4AC9012-DD22-244E-9A7E-1668271D0D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1159EE9-79CB-8C4C-AEF1-38EB23FA2ED2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56B0561B-D114-3545-9061-C72D5C06A24F}"/>
    <w:embedItalic r:id="rId7" w:fontKey="{3B81C4FE-5EF7-224C-BD2D-ADFE91F0988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F13CE190-F69F-7F49-A648-955BDC8E841C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3D"/>
    <w:rsid w:val="003C1267"/>
    <w:rsid w:val="004F6F3D"/>
    <w:rsid w:val="008E1FF9"/>
    <w:rsid w:val="00BA6691"/>
    <w:rsid w:val="00D8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D8526"/>
  <w15:docId w15:val="{C835F308-F3EB-5D4C-BA56-0DCA5F68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BA669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ijdrr.2024.10473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hakealert.org/education-and-outreach/case-studie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hakealert.org/" TargetMode="External"/><Relationship Id="rId11" Type="http://schemas.openxmlformats.org/officeDocument/2006/relationships/hyperlink" Target="http://www.sparisk.com/" TargetMode="External"/><Relationship Id="rId5" Type="http://schemas.openxmlformats.org/officeDocument/2006/relationships/hyperlink" Target="https://www.jma.go.jp/jma/en/Activities/eew.html" TargetMode="External"/><Relationship Id="rId10" Type="http://schemas.openxmlformats.org/officeDocument/2006/relationships/hyperlink" Target="https://doi.org/10.1007/978-981-97-5987-3_3" TargetMode="External"/><Relationship Id="rId4" Type="http://schemas.openxmlformats.org/officeDocument/2006/relationships/hyperlink" Target="http://cires.org.mx/index.php" TargetMode="External"/><Relationship Id="rId9" Type="http://schemas.openxmlformats.org/officeDocument/2006/relationships/hyperlink" Target="https://doi.org/10.1785/0120230259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Elizabeth Reddy</cp:lastModifiedBy>
  <cp:revision>2</cp:revision>
  <dcterms:created xsi:type="dcterms:W3CDTF">2026-07-16T17:38:00Z</dcterms:created>
  <dcterms:modified xsi:type="dcterms:W3CDTF">2026-07-16T17:38:00Z</dcterms:modified>
</cp:coreProperties>
</file>